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262"/>
        <w:gridCol w:w="910"/>
        <w:gridCol w:w="1174"/>
        <w:gridCol w:w="799"/>
        <w:gridCol w:w="736"/>
        <w:gridCol w:w="774"/>
        <w:gridCol w:w="200"/>
        <w:gridCol w:w="1998"/>
      </w:tblGrid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E2103" w:rsidRPr="004349E4" w:rsidTr="009812A0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7F771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AE2103" w:rsidRPr="004349E4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0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2488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</w:t>
            </w:r>
            <w:r w:rsidR="00881651">
              <w:rPr>
                <w:rFonts w:ascii="Candara" w:eastAsia="Times New Roman" w:hAnsi="Candara" w:cs="Arial"/>
                <w:b/>
                <w:lang w:val="en-US" w:bidi="ar-SA"/>
              </w:rPr>
              <w:t xml:space="preserve"> broj sata/dvosata</w:t>
            </w:r>
            <w:r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2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 w:rsidP="00FA7135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4C4AAB" w:rsidRPr="00D55F5D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 xml:space="preserve">Imam </w:t>
            </w:r>
            <w:r w:rsidR="00FA7135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>pravo na svoje mišljenje</w:t>
            </w:r>
            <w:r w:rsidR="003A3BDA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(uvodni sat)</w:t>
            </w:r>
          </w:p>
        </w:tc>
      </w:tr>
      <w:tr w:rsidR="00AE2103" w:rsidRPr="004349E4" w:rsidTr="009812A0">
        <w:trPr>
          <w:trHeight w:val="683"/>
        </w:trPr>
        <w:tc>
          <w:tcPr>
            <w:tcW w:w="31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1442E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C kultura i</w:t>
            </w:r>
            <w:bookmarkStart w:id="0" w:name="_GoBack"/>
            <w:bookmarkEnd w:id="0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mediji </w:t>
            </w:r>
            <w:r w:rsidR="00AE2103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8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7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 w:rsidP="0082204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822048">
              <w:rPr>
                <w:rFonts w:ascii="Candara" w:hAnsi="Candara" w:cs="Arial"/>
              </w:rPr>
              <w:t>skupinski rad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9812A0"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0F6488">
              <w:rPr>
                <w:rFonts w:ascii="Candara" w:hAnsi="Candara"/>
                <w:sz w:val="22"/>
                <w:szCs w:val="22"/>
              </w:rPr>
              <w:t>7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.1. Učenik </w:t>
            </w:r>
            <w:r w:rsidR="000F6488">
              <w:rPr>
                <w:rFonts w:ascii="Candara" w:hAnsi="Candara"/>
                <w:sz w:val="22"/>
                <w:szCs w:val="22"/>
              </w:rPr>
              <w:t>govori prema planu i razgovara primjenjujući vještine razgovora u skupini.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02006E" w:rsidRDefault="0002006E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0F6488">
              <w:rPr>
                <w:rFonts w:ascii="Candara" w:hAnsi="Candara"/>
                <w:sz w:val="22"/>
                <w:szCs w:val="22"/>
              </w:rPr>
              <w:t>7.</w:t>
            </w:r>
            <w:r w:rsidR="004F79E5">
              <w:rPr>
                <w:rFonts w:ascii="Candara" w:hAnsi="Candara"/>
                <w:sz w:val="22"/>
                <w:szCs w:val="22"/>
              </w:rPr>
              <w:t>3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BA5CCD">
              <w:rPr>
                <w:rFonts w:ascii="Candara" w:hAnsi="Candara"/>
                <w:sz w:val="22"/>
                <w:szCs w:val="22"/>
              </w:rPr>
              <w:t>Uč</w:t>
            </w:r>
            <w:r w:rsidR="000F6488">
              <w:rPr>
                <w:rFonts w:ascii="Candara" w:hAnsi="Candara"/>
                <w:sz w:val="22"/>
                <w:szCs w:val="22"/>
              </w:rPr>
              <w:t>enik čita tekst, organizira i interpretira podatke iz čitanoga teksta i sažima ih u bilješke.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4F79E5" w:rsidRDefault="004F79E5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A.7.4. Učenik piše objektivne pripovjedne tekstove u skladu s temom i prema planu.</w:t>
            </w:r>
          </w:p>
          <w:p w:rsidR="004F79E5" w:rsidRPr="0002006E" w:rsidRDefault="004F79E5" w:rsidP="00224880">
            <w:pPr>
              <w:pStyle w:val="Default"/>
              <w:numPr>
                <w:ilvl w:val="0"/>
                <w:numId w:val="4"/>
              </w:numPr>
              <w:ind w:left="322" w:hanging="218"/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C.7.3. Učenik sudjeluje u projektima.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02006E" w:rsidRDefault="00881651" w:rsidP="002248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Razgovara o </w:t>
            </w:r>
            <w:r w:rsidR="00FA7135">
              <w:rPr>
                <w:rFonts w:ascii="Candara" w:hAnsi="Candara" w:cs="Arial"/>
              </w:rPr>
              <w:t>toleranciji i značaju tolerancije u suvremenome društvu.</w:t>
            </w:r>
          </w:p>
          <w:p w:rsidR="0002006E" w:rsidRPr="0002006E" w:rsidRDefault="00FA7135" w:rsidP="00FA71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Objašnjava značenje riječi </w:t>
            </w:r>
            <w:r w:rsidRPr="00FA7135">
              <w:rPr>
                <w:rFonts w:ascii="Candara" w:hAnsi="Candara" w:cs="Arial"/>
                <w:i/>
              </w:rPr>
              <w:t>stereotip</w:t>
            </w:r>
            <w:r>
              <w:rPr>
                <w:rFonts w:ascii="Candara" w:hAnsi="Candara" w:cs="Arial"/>
              </w:rPr>
              <w:t xml:space="preserve"> i </w:t>
            </w:r>
            <w:r w:rsidRPr="00FA7135">
              <w:rPr>
                <w:rFonts w:ascii="Candara" w:hAnsi="Candara" w:cs="Arial"/>
                <w:i/>
              </w:rPr>
              <w:t>predrasuda</w:t>
            </w:r>
            <w:r>
              <w:rPr>
                <w:rFonts w:ascii="Candara" w:hAnsi="Candara" w:cs="Arial"/>
              </w:rPr>
              <w:t xml:space="preserve"> koristeći se rječnikom hrvatskoga jezika te navodi primjere stereotipa i predrasuda u svojemu okruženju.</w:t>
            </w:r>
          </w:p>
          <w:p w:rsidR="00881651" w:rsidRPr="00881651" w:rsidRDefault="006A0F7D" w:rsidP="002248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Organizira </w:t>
            </w:r>
            <w:r w:rsidR="00881651">
              <w:rPr>
                <w:rFonts w:ascii="Candara" w:hAnsi="Candara" w:cs="Arial"/>
              </w:rPr>
              <w:t>rad u skupini, surađuje s drugim učenicima u cilju postizanja što boljega rezultata.</w:t>
            </w:r>
          </w:p>
          <w:p w:rsidR="0002006E" w:rsidRPr="0002006E" w:rsidRDefault="00881651" w:rsidP="00FA71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2" w:hanging="218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 xml:space="preserve">Objavljuje rezultate rada </w:t>
            </w:r>
            <w:r w:rsidR="00FA7135">
              <w:rPr>
                <w:rFonts w:ascii="Candara" w:hAnsi="Candara" w:cs="Calibri"/>
              </w:rPr>
              <w:t>u skupini te samovrednuje i vrednuje rad na zadanu temu.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9812A0">
        <w:trPr>
          <w:trHeight w:val="2454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BA5CCD">
              <w:rPr>
                <w:rFonts w:ascii="Candara" w:hAnsi="Candara" w:cs="Arial"/>
              </w:rPr>
              <w:t>razgovarati na temelju motivacijskih pitanja i ilustracija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izdvajati važne podatke iz teksta u obliku ključnih riječi i bilježaka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bilježiti prema uputama tražene podatke poštujući pravopisna pravila</w:t>
            </w:r>
          </w:p>
          <w:p w:rsidR="000436FC" w:rsidRDefault="000436FC" w:rsidP="000436FC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 organizirati kratko izlaganje na zadanu temu</w:t>
            </w:r>
          </w:p>
          <w:p w:rsidR="000436FC" w:rsidRPr="004349E4" w:rsidRDefault="000436FC" w:rsidP="000436F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9E4">
              <w:rPr>
                <w:rFonts w:ascii="Candara" w:hAnsi="Candara" w:cs="Arial"/>
              </w:rPr>
              <w:t>razgovjetno govoriti i točno intonirati rečenice</w:t>
            </w:r>
          </w:p>
          <w:p w:rsidR="00881651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slušati tuđe izlaganje, </w:t>
            </w:r>
            <w:r w:rsidR="0002006E" w:rsidRPr="004349E4">
              <w:rPr>
                <w:rFonts w:ascii="Candara" w:hAnsi="Candara" w:cs="Arial"/>
              </w:rPr>
              <w:t>zapažat</w:t>
            </w:r>
            <w:r w:rsidR="0002006E">
              <w:rPr>
                <w:rFonts w:ascii="Candara" w:hAnsi="Candara" w:cs="Arial"/>
              </w:rPr>
              <w:t>i tražene podatke i komentirati</w:t>
            </w:r>
          </w:p>
          <w:p w:rsidR="0002006E" w:rsidRPr="00BA5CCD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6A0F7D">
              <w:rPr>
                <w:rFonts w:ascii="Candara" w:hAnsi="Candara" w:cs="Arial"/>
              </w:rPr>
              <w:t>vrednovati i samovrednovati rezultate rada u skupini</w:t>
            </w:r>
          </w:p>
          <w:p w:rsidR="0002006E" w:rsidRPr="00BA5CCD" w:rsidRDefault="00910146" w:rsidP="006A0F7D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 xml:space="preserve">razvijati sposobnost rada u </w:t>
            </w:r>
            <w:r w:rsidR="006A0F7D">
              <w:rPr>
                <w:rFonts w:ascii="Candara" w:hAnsi="Candara" w:cs="Arial"/>
              </w:rPr>
              <w:t>skupini</w:t>
            </w:r>
            <w:r w:rsidR="0002006E" w:rsidRPr="004349E4">
              <w:rPr>
                <w:rFonts w:ascii="Candara" w:hAnsi="Candara" w:cs="Arial"/>
              </w:rPr>
              <w:t>, aktivnoga slušanja drugoga i uvažavanja njegovih stavova</w:t>
            </w:r>
            <w:r w:rsidR="000436FC">
              <w:rPr>
                <w:rFonts w:ascii="Candara" w:hAnsi="Candara" w:cs="Arial"/>
              </w:rPr>
              <w:t>.</w:t>
            </w:r>
          </w:p>
        </w:tc>
      </w:tr>
      <w:tr w:rsidR="0002006E" w:rsidRPr="004349E4" w:rsidTr="009812A0">
        <w:trPr>
          <w:trHeight w:val="301"/>
        </w:trPr>
        <w:tc>
          <w:tcPr>
            <w:tcW w:w="778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</w:t>
            </w:r>
            <w:r w:rsidR="00881651">
              <w:rPr>
                <w:rFonts w:ascii="Candara" w:eastAsia="Times New Roman" w:hAnsi="Candara" w:cs="Arial"/>
                <w:b/>
                <w:bCs/>
                <w:lang w:val="en-US" w:bidi="ar-SA"/>
              </w:rPr>
              <w:t>/dvosata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C70549">
        <w:trPr>
          <w:trHeight w:val="58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</w:t>
            </w:r>
          </w:p>
          <w:p w:rsidR="0002006E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41948" w:rsidRDefault="00E4194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41948" w:rsidRDefault="00E4194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41948" w:rsidRDefault="00E4194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41948" w:rsidRDefault="00E4194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41948" w:rsidRDefault="00E4194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41948" w:rsidRDefault="00E41948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70549" w:rsidRPr="004349E4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 w:rsidR="004C6B06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„otvaralici“ (</w:t>
            </w:r>
            <w:r w:rsidR="00FA7135">
              <w:rPr>
                <w:rFonts w:ascii="Candara" w:hAnsi="Candara" w:cs="Arial"/>
              </w:rPr>
              <w:t>5</w:t>
            </w:r>
            <w:r>
              <w:rPr>
                <w:rFonts w:ascii="Candara" w:hAnsi="Candara" w:cs="Arial"/>
              </w:rPr>
              <w:t>. cjelina)</w:t>
            </w:r>
            <w:r w:rsidRPr="004349E4">
              <w:rPr>
                <w:rFonts w:ascii="Candara" w:hAnsi="Candara" w:cs="Arial"/>
              </w:rPr>
              <w:t xml:space="preserve"> u udžbeniku i </w:t>
            </w:r>
            <w:r w:rsidR="00FA7135">
              <w:rPr>
                <w:rFonts w:ascii="Candara" w:hAnsi="Candara" w:cs="Arial"/>
              </w:rPr>
              <w:t>čitaju što su o toleranciji izjavili Helen Keller i Voltaire. Odgovaraju na pitanja i i</w:t>
            </w:r>
            <w:r w:rsidRPr="004349E4">
              <w:rPr>
                <w:rFonts w:ascii="Candara" w:hAnsi="Candara" w:cs="Arial"/>
              </w:rPr>
              <w:t xml:space="preserve">znose svoja zapažanja i razmišljanja. </w:t>
            </w:r>
          </w:p>
          <w:p w:rsidR="00E41948" w:rsidRPr="00E41948" w:rsidRDefault="00E41948" w:rsidP="00E41948">
            <w:pPr>
              <w:spacing w:after="0"/>
              <w:rPr>
                <w:rFonts w:ascii="Candara" w:hAnsi="Candara" w:cs="Arial"/>
                <w:i/>
              </w:rPr>
            </w:pPr>
            <w:r w:rsidRPr="00E41948">
              <w:rPr>
                <w:rFonts w:ascii="Candara" w:hAnsi="Candara" w:cs="Arial"/>
                <w:i/>
              </w:rPr>
              <w:t xml:space="preserve">Što je Voltaire želio istaknuti svojom izrekom: a) nikad ne treba izreći svoje mišljenje; b) uvijek treba izreći svoje mišljenje, čak i onda kad se ne slažeš s većinom; c) uvijek treba poštovati tuđe mišljenje, iako se ne slažeš s njim; d) uvijek se treba složiti s mišljenjem većine? </w:t>
            </w:r>
          </w:p>
          <w:p w:rsidR="00E41948" w:rsidRPr="00E41948" w:rsidRDefault="00E41948" w:rsidP="00E41948">
            <w:pPr>
              <w:spacing w:after="0"/>
              <w:rPr>
                <w:rFonts w:ascii="Candara" w:hAnsi="Candara" w:cs="Arial"/>
                <w:i/>
              </w:rPr>
            </w:pPr>
            <w:r w:rsidRPr="00E41948">
              <w:rPr>
                <w:rFonts w:ascii="Candara" w:hAnsi="Candara" w:cs="Arial"/>
                <w:i/>
              </w:rPr>
              <w:t xml:space="preserve">Zašto je važno suprotstavljati se prikrivenome ili otvorenome omalovažavanju i nepoštivanju tuđega mišljenja i stava? </w:t>
            </w:r>
          </w:p>
          <w:p w:rsidR="00E41948" w:rsidRPr="00E41948" w:rsidRDefault="00E41948" w:rsidP="00E41948">
            <w:pPr>
              <w:spacing w:after="0"/>
              <w:rPr>
                <w:rFonts w:ascii="Candara" w:hAnsi="Candara" w:cs="Arial"/>
                <w:i/>
              </w:rPr>
            </w:pPr>
            <w:r w:rsidRPr="00E41948">
              <w:rPr>
                <w:rFonts w:ascii="Candara" w:hAnsi="Candara" w:cs="Arial"/>
                <w:i/>
              </w:rPr>
              <w:t xml:space="preserve">Na koji način možeš „vježbati“ strpljenje i razumijevanje za drukčije od sebe? </w:t>
            </w:r>
          </w:p>
          <w:p w:rsidR="00423BD8" w:rsidRDefault="0002006E" w:rsidP="00423BD8">
            <w:pPr>
              <w:spacing w:after="0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</w:rPr>
              <w:t>NAJAVA TEME: Učitelj/Učiteljica upućuje učenike na zadatak</w:t>
            </w:r>
            <w:r w:rsidR="00EC6D3E">
              <w:rPr>
                <w:rFonts w:ascii="Candara" w:hAnsi="Candara" w:cs="Arial"/>
              </w:rPr>
              <w:t>:</w:t>
            </w:r>
            <w:r w:rsidRPr="004349E4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 w:rsidR="00423BD8">
              <w:rPr>
                <w:rFonts w:ascii="Candara" w:hAnsi="Candara" w:cs="Arial"/>
                <w:i/>
              </w:rPr>
              <w:t>(</w:t>
            </w:r>
            <w:r w:rsidR="00E41948">
              <w:rPr>
                <w:rFonts w:ascii="Candara" w:hAnsi="Candara" w:cs="Arial"/>
                <w:i/>
              </w:rPr>
              <w:t>Osobni i socijalni razvoj; Građanski odgoj</w:t>
            </w:r>
            <w:r w:rsidR="00423BD8">
              <w:rPr>
                <w:rFonts w:ascii="Candara" w:hAnsi="Candara" w:cs="Arial"/>
                <w:i/>
              </w:rPr>
              <w:t xml:space="preserve">) – </w:t>
            </w:r>
            <w:r w:rsidR="00E41948">
              <w:rPr>
                <w:rFonts w:ascii="Candara" w:hAnsi="Candara" w:cs="Arial"/>
                <w:i/>
              </w:rPr>
              <w:t>Stereotipi i predrasude</w:t>
            </w:r>
          </w:p>
          <w:p w:rsidR="0002006E" w:rsidRPr="009A508B" w:rsidRDefault="0002006E" w:rsidP="00E41948">
            <w:pPr>
              <w:spacing w:after="0"/>
              <w:rPr>
                <w:rFonts w:ascii="Candara" w:hAnsi="Candara" w:cs="Arial"/>
                <w:b/>
              </w:rPr>
            </w:pP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F10DE" w:rsidRDefault="005F10D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</w:p>
          <w:p w:rsidR="00C70549" w:rsidRDefault="00C70549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F10DE" w:rsidRDefault="005F10D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svoja zapažanja</w:t>
            </w:r>
          </w:p>
          <w:p w:rsidR="00C70549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5F10DE" w:rsidRDefault="005F10D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</w:p>
          <w:p w:rsidR="00C70549" w:rsidRDefault="00C70549" w:rsidP="00C70549">
            <w:pPr>
              <w:suppressAutoHyphens/>
              <w:autoSpaceDN w:val="0"/>
              <w:spacing w:after="0"/>
              <w:ind w:left="47" w:hanging="4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C7054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02006E" w:rsidRPr="004349E4" w:rsidTr="009812A0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Glavni dio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45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25 min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6D" w:rsidRDefault="00244E6D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Učenike dijelimo</w:t>
            </w:r>
            <w:r w:rsidRPr="00881651">
              <w:rPr>
                <w:rFonts w:ascii="Candara" w:hAnsi="Candara" w:cs="Arial"/>
              </w:rPr>
              <w:t xml:space="preserve"> u </w:t>
            </w:r>
            <w:r>
              <w:rPr>
                <w:rFonts w:ascii="Candara" w:hAnsi="Candara" w:cs="Arial"/>
              </w:rPr>
              <w:t>četiri skupine. Svaka skupina ima jednake zadatke:</w:t>
            </w:r>
          </w:p>
          <w:p w:rsidR="00244E6D" w:rsidRDefault="00244E6D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</w:t>
            </w:r>
            <w:r w:rsidR="00E41948">
              <w:rPr>
                <w:rFonts w:ascii="Candara" w:hAnsi="Candara" w:cs="Arial"/>
              </w:rPr>
              <w:t xml:space="preserve">istražiti značenje riječi </w:t>
            </w:r>
            <w:r w:rsidR="00E41948" w:rsidRPr="00E41948">
              <w:rPr>
                <w:rFonts w:ascii="Candara" w:hAnsi="Candara" w:cs="Arial"/>
                <w:i/>
              </w:rPr>
              <w:t>stereotip</w:t>
            </w:r>
            <w:r w:rsidR="00E41948">
              <w:rPr>
                <w:rFonts w:ascii="Candara" w:hAnsi="Candara" w:cs="Arial"/>
              </w:rPr>
              <w:t xml:space="preserve"> i </w:t>
            </w:r>
            <w:r w:rsidR="00E41948" w:rsidRPr="00E41948">
              <w:rPr>
                <w:rFonts w:ascii="Candara" w:hAnsi="Candara" w:cs="Arial"/>
                <w:i/>
              </w:rPr>
              <w:t>predrasuda</w:t>
            </w:r>
            <w:r w:rsidR="00E41948">
              <w:rPr>
                <w:rFonts w:ascii="Candara" w:hAnsi="Candara" w:cs="Arial"/>
              </w:rPr>
              <w:t xml:space="preserve"> koristeći </w:t>
            </w:r>
            <w:r>
              <w:rPr>
                <w:rFonts w:ascii="Candara" w:hAnsi="Candara" w:cs="Arial"/>
              </w:rPr>
              <w:t>se rječnikom hrvatskoga jezika</w:t>
            </w:r>
          </w:p>
          <w:p w:rsidR="00244E6D" w:rsidRDefault="00244E6D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</w:t>
            </w:r>
            <w:r w:rsidR="00E41948">
              <w:rPr>
                <w:rFonts w:ascii="Candara" w:hAnsi="Candara" w:cs="Arial"/>
              </w:rPr>
              <w:t>razgovarati o značenju navedenih riječi i n</w:t>
            </w:r>
            <w:r>
              <w:rPr>
                <w:rFonts w:ascii="Candara" w:hAnsi="Candara" w:cs="Arial"/>
              </w:rPr>
              <w:t>jihovoj međusobnoj povezanosti</w:t>
            </w:r>
          </w:p>
          <w:p w:rsidR="00E41948" w:rsidRDefault="00244E6D" w:rsidP="0002006E">
            <w:pPr>
              <w:spacing w:after="0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 w:rsidR="00E41948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navesti nekoliko primjera</w:t>
            </w:r>
            <w:r w:rsidR="00E41948">
              <w:rPr>
                <w:rFonts w:ascii="Candara" w:hAnsi="Candara" w:cs="Arial"/>
              </w:rPr>
              <w:t xml:space="preserve"> predrasuda i stereotipa </w:t>
            </w:r>
            <w:r>
              <w:rPr>
                <w:rFonts w:ascii="Candara" w:hAnsi="Candara" w:cs="Arial"/>
              </w:rPr>
              <w:t>s kojima su se susretali</w:t>
            </w:r>
          </w:p>
          <w:p w:rsidR="00EC6D3E" w:rsidRDefault="00E41948" w:rsidP="00244E6D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pročitati citate na 111. stranici udžbenika, a zatim osmisliti izgled plakata </w:t>
            </w:r>
            <w:r w:rsidR="00244E6D">
              <w:rPr>
                <w:rFonts w:ascii="Candara" w:hAnsi="Candara" w:cs="Arial"/>
              </w:rPr>
              <w:t xml:space="preserve">ili izraditi plakat </w:t>
            </w:r>
            <w:r>
              <w:rPr>
                <w:rFonts w:ascii="Candara" w:hAnsi="Candara" w:cs="Arial"/>
              </w:rPr>
              <w:t xml:space="preserve">u digitalnome alatu Canva </w:t>
            </w:r>
            <w:r w:rsidR="00244E6D">
              <w:rPr>
                <w:rFonts w:ascii="Candara" w:hAnsi="Candara" w:cs="Arial"/>
              </w:rPr>
              <w:t>kojim najavljuju okrugli stol o stereotipima i predrasudama</w:t>
            </w:r>
          </w:p>
          <w:p w:rsidR="0002006E" w:rsidRPr="00EC6D3E" w:rsidRDefault="0002006E" w:rsidP="0002006E">
            <w:pPr>
              <w:spacing w:after="0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</w:t>
            </w:r>
            <w:r w:rsidR="001B7799">
              <w:rPr>
                <w:rFonts w:ascii="Candara" w:hAnsi="Candara" w:cs="Arial"/>
                <w:b/>
              </w:rPr>
              <w:t>skupinskoga</w:t>
            </w:r>
            <w:r w:rsidRPr="004349E4">
              <w:rPr>
                <w:rFonts w:ascii="Candara" w:hAnsi="Candara" w:cs="Arial"/>
                <w:b/>
              </w:rPr>
              <w:t xml:space="preserve"> rada </w:t>
            </w:r>
          </w:p>
          <w:p w:rsidR="0002006E" w:rsidRPr="00423BD8" w:rsidRDefault="00423BD8" w:rsidP="008E2B9A">
            <w:pPr>
              <w:spacing w:after="0"/>
              <w:rPr>
                <w:rFonts w:ascii="Candara" w:hAnsi="Candara"/>
                <w:b/>
                <w:color w:val="000000"/>
                <w:lang w:eastAsia="hr-HR"/>
              </w:rPr>
            </w:pPr>
            <w:r>
              <w:rPr>
                <w:rFonts w:ascii="Candara" w:hAnsi="Candara"/>
                <w:color w:val="000000"/>
              </w:rPr>
              <w:t>Svaka skupina predstavlja rezultate svojega rada u kratkom izlaganju.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6FC" w:rsidRDefault="0002006E" w:rsidP="005F10D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5F10DE">
              <w:rPr>
                <w:rFonts w:ascii="Candara" w:eastAsia="Times New Roman" w:hAnsi="Candara" w:cs="Arial"/>
                <w:bCs/>
                <w:lang w:val="en-US" w:bidi="ar-SA"/>
              </w:rPr>
              <w:t>istražuje, traži podatke koristeći se različitim izvorima znanja</w:t>
            </w:r>
          </w:p>
          <w:p w:rsidR="00C70549" w:rsidRDefault="00C7054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5F10DE">
              <w:rPr>
                <w:rFonts w:ascii="Candara" w:eastAsia="Times New Roman" w:hAnsi="Candara" w:cs="Arial"/>
                <w:bCs/>
                <w:lang w:val="en-US" w:bidi="ar-SA"/>
              </w:rPr>
              <w:t>rješava zadatke</w:t>
            </w:r>
          </w:p>
          <w:p w:rsidR="00C70549" w:rsidRDefault="00C7054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436FC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5F10DE">
              <w:rPr>
                <w:rFonts w:ascii="Candara" w:eastAsia="Times New Roman" w:hAnsi="Candara" w:cs="Arial"/>
                <w:bCs/>
                <w:lang w:val="en-US" w:bidi="ar-SA"/>
              </w:rPr>
              <w:t>oblikuje plakat koristeći se digitalnim alatima</w:t>
            </w:r>
          </w:p>
          <w:p w:rsidR="00C70549" w:rsidRDefault="00C7054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B7799" w:rsidRPr="004349E4" w:rsidRDefault="001B7799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>‒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objavljuje rezultate rada u skupini</w:t>
            </w:r>
          </w:p>
        </w:tc>
      </w:tr>
      <w:tr w:rsidR="0002006E" w:rsidRPr="004349E4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8E2B9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r w:rsidR="00E04F4A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23BD8" w:rsidRDefault="00423BD8" w:rsidP="00C44E4A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 završnome dijelu sata svaka skupina vrednuje svoj rad, ali i rad ostalih skupina prema unaprijed utvrđenim kriterijima vrednovanja.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436FC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 vrednuje (samovrednuje) rezultate rada</w:t>
            </w:r>
          </w:p>
        </w:tc>
      </w:tr>
      <w:tr w:rsidR="0002006E" w:rsidRPr="00E50498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11" w:rsidRPr="00423BD8" w:rsidRDefault="005F10DE" w:rsidP="00786072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Nakon objave i vrednovanja skupinskoga rada skupine mogu plakate doraditi prema uputama i savjetima učitelja, ali i ostalih učenika, za domaću zadaću.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9812A0">
        <w:trPr>
          <w:trHeight w:val="77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potpore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uputiti učenika u digitalni udžbenik (www.e-sfera.hr) </w:t>
            </w:r>
          </w:p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osigurati dodatno vrijeme za snalaženje u </w:t>
            </w:r>
            <w:r>
              <w:rPr>
                <w:rFonts w:ascii="Candara" w:eastAsia="Times New Roman" w:hAnsi="Candara" w:cs="Arial"/>
                <w:lang w:bidi="ar-SA"/>
              </w:rPr>
              <w:t>udžbeniku</w:t>
            </w:r>
            <w:r w:rsidRPr="009812A0">
              <w:rPr>
                <w:rFonts w:ascii="Candara" w:eastAsia="Times New Roman" w:hAnsi="Candara" w:cs="Arial"/>
                <w:lang w:bidi="ar-SA"/>
              </w:rPr>
              <w:t xml:space="preserve"> i čitanje </w:t>
            </w:r>
            <w:r>
              <w:rPr>
                <w:rFonts w:ascii="Candara" w:eastAsia="Times New Roman" w:hAnsi="Candara" w:cs="Arial"/>
                <w:lang w:bidi="ar-SA"/>
              </w:rPr>
              <w:t>zadatka</w:t>
            </w:r>
          </w:p>
          <w:p w:rsidR="0002006E" w:rsidRPr="004349E4" w:rsidRDefault="0002006E" w:rsidP="009812A0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02006E" w:rsidRPr="00097311" w:rsidRDefault="0002006E" w:rsidP="009812A0">
            <w:pPr>
              <w:tabs>
                <w:tab w:val="left" w:pos="6360"/>
              </w:tabs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</w:t>
            </w:r>
            <w:r w:rsidR="009812A0">
              <w:rPr>
                <w:rFonts w:ascii="Candara" w:hAnsi="Candara" w:cs="Arial"/>
              </w:rPr>
              <w:t>tijekom rada</w:t>
            </w:r>
            <w:r>
              <w:rPr>
                <w:rFonts w:ascii="Candara" w:hAnsi="Candara" w:cs="Arial"/>
              </w:rPr>
              <w:t>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9812A0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9812A0">
        <w:trPr>
          <w:trHeight w:val="557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 xml:space="preserve">opažanja o aktivnostima učenika tijekom </w:t>
            </w:r>
            <w:r w:rsidR="001B7799">
              <w:rPr>
                <w:rFonts w:ascii="Candara" w:hAnsi="Candara" w:cs="Arial"/>
                <w:lang w:val="en-US"/>
              </w:rPr>
              <w:t>skupinskoga rada</w:t>
            </w:r>
            <w:r w:rsidR="000436FC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6A0F7D" w:rsidRPr="005F10DE" w:rsidRDefault="0002006E" w:rsidP="001B7799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</w:t>
            </w:r>
            <w:r w:rsidR="001B7799">
              <w:rPr>
                <w:rFonts w:ascii="Candara" w:hAnsi="Candara" w:cs="Arial"/>
              </w:rPr>
              <w:t>svoje skupine, ali i rad ostalih skupina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436F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0436FC">
              <w:rPr>
                <w:rFonts w:ascii="Candara" w:eastAsia="Times New Roman" w:hAnsi="Candara" w:cs="Open Sans"/>
                <w:bCs/>
                <w:lang w:val="en-US" w:eastAsia="hr-HR" w:bidi="ar-SA"/>
              </w:rPr>
              <w:t>predstavljanja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prema unaprijed dogovorenim kriterijima</w:t>
            </w:r>
          </w:p>
          <w:p w:rsidR="00786072" w:rsidRPr="00786072" w:rsidRDefault="00786072" w:rsidP="00786072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 w:rsidRPr="00786072">
              <w:rPr>
                <w:rFonts w:eastAsia="Times New Roman" w:cs="Calibri"/>
                <w:bCs/>
                <w:lang w:val="en-US" w:eastAsia="hr-HR" w:bidi="ar-SA"/>
              </w:rPr>
              <w:t>‒</w:t>
            </w:r>
            <w:r w:rsidRPr="0078607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vrednovanje plakata kojim se najavljuje okrugli stol o stereotipima i predrasudama</w:t>
            </w:r>
          </w:p>
        </w:tc>
      </w:tr>
      <w:tr w:rsidR="0002006E" w:rsidRPr="004349E4" w:rsidTr="006A0F7D">
        <w:trPr>
          <w:trHeight w:val="12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6A0F7D" w:rsidRDefault="006A0F7D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Pr="004349E4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99" w:rsidRDefault="001B7799" w:rsidP="001B779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074BDE" w:rsidRDefault="00786072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b/>
                <w:color w:val="FF0000"/>
              </w:rPr>
            </w:pPr>
            <w:r w:rsidRPr="00074BDE">
              <w:rPr>
                <w:rFonts w:ascii="Candara" w:hAnsi="Candara" w:cs="Arial"/>
                <w:b/>
                <w:color w:val="FF0000"/>
              </w:rPr>
              <w:t>Imam pravo na svoje mišljenje</w:t>
            </w:r>
          </w:p>
          <w:p w:rsidR="00786072" w:rsidRDefault="00786072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b/>
              </w:rPr>
            </w:pPr>
          </w:p>
          <w:p w:rsidR="00786072" w:rsidRDefault="00786072" w:rsidP="00786072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75" w:hanging="219"/>
              <w:rPr>
                <w:rFonts w:ascii="Candara" w:hAnsi="Candara"/>
              </w:rPr>
            </w:pPr>
            <w:r w:rsidRPr="005F10DE">
              <w:rPr>
                <w:rFonts w:ascii="Candara" w:hAnsi="Candara" w:cs="Arial"/>
                <w:b/>
              </w:rPr>
              <w:t>tolerancija</w:t>
            </w:r>
            <w:r w:rsidRPr="00786072">
              <w:rPr>
                <w:rFonts w:ascii="Candara" w:hAnsi="Candara" w:cs="Arial"/>
              </w:rPr>
              <w:t xml:space="preserve"> </w:t>
            </w:r>
            <w:r w:rsidRPr="005F10DE">
              <w:rPr>
                <w:rFonts w:asciiTheme="minorHAnsi" w:hAnsiTheme="minorHAnsi" w:cstheme="minorHAnsi"/>
              </w:rPr>
              <w:t>‒</w:t>
            </w:r>
            <w:r w:rsidRPr="00786072">
              <w:rPr>
                <w:rFonts w:ascii="Candara" w:hAnsi="Candara"/>
              </w:rPr>
              <w:t xml:space="preserve"> odnos koji u potpunosti prihvaća drugoga, drugačije običaje, drug</w:t>
            </w:r>
            <w:r w:rsidR="00074BDE">
              <w:rPr>
                <w:rFonts w:ascii="Candara" w:hAnsi="Candara"/>
              </w:rPr>
              <w:t>e narode, uvjerenja, mišljenja (</w:t>
            </w:r>
            <w:r w:rsidRPr="00786072">
              <w:rPr>
                <w:rFonts w:ascii="Candara" w:hAnsi="Candara"/>
              </w:rPr>
              <w:t>rasna t</w:t>
            </w:r>
            <w:r w:rsidR="00074BDE">
              <w:rPr>
                <w:rFonts w:ascii="Candara" w:hAnsi="Candara"/>
              </w:rPr>
              <w:t>olerancija; vjerska tolerancija)</w:t>
            </w:r>
            <w:r w:rsidRPr="00786072">
              <w:rPr>
                <w:rFonts w:ascii="Candara" w:hAnsi="Candara"/>
              </w:rPr>
              <w:t>; snošljivost, trpeljivost</w:t>
            </w:r>
          </w:p>
          <w:p w:rsidR="005F10DE" w:rsidRPr="00786072" w:rsidRDefault="005F10DE" w:rsidP="005F10DE">
            <w:pPr>
              <w:pStyle w:val="ListParagraph"/>
              <w:suppressAutoHyphens/>
              <w:autoSpaceDN w:val="0"/>
              <w:spacing w:after="0" w:line="240" w:lineRule="auto"/>
              <w:ind w:left="375"/>
              <w:rPr>
                <w:rFonts w:ascii="Candara" w:hAnsi="Candara"/>
              </w:rPr>
            </w:pPr>
          </w:p>
          <w:p w:rsidR="00786072" w:rsidRPr="005F10DE" w:rsidRDefault="00786072" w:rsidP="00786072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75" w:hanging="219"/>
              <w:rPr>
                <w:rFonts w:ascii="Candara" w:hAnsi="Candara"/>
              </w:rPr>
            </w:pPr>
            <w:r w:rsidRPr="005F10DE">
              <w:rPr>
                <w:rFonts w:ascii="Candara" w:hAnsi="Candara" w:cs="Arial"/>
                <w:b/>
              </w:rPr>
              <w:t>stereotip</w:t>
            </w:r>
            <w:r w:rsidRPr="00786072">
              <w:rPr>
                <w:rFonts w:ascii="Candara" w:hAnsi="Candara" w:cs="Arial"/>
              </w:rPr>
              <w:t xml:space="preserve"> </w:t>
            </w:r>
            <w:r w:rsidRPr="005F10DE">
              <w:rPr>
                <w:rFonts w:asciiTheme="minorHAnsi" w:hAnsiTheme="minorHAnsi" w:cstheme="minorHAnsi"/>
              </w:rPr>
              <w:t>‒</w:t>
            </w:r>
            <w:r w:rsidR="005F10DE">
              <w:rPr>
                <w:rFonts w:ascii="Arial" w:hAnsi="Arial" w:cs="Arial"/>
              </w:rPr>
              <w:t xml:space="preserve"> </w:t>
            </w:r>
            <w:r w:rsidR="005F10DE" w:rsidRPr="005F10DE">
              <w:rPr>
                <w:rFonts w:ascii="Candara" w:hAnsi="Candara"/>
              </w:rPr>
              <w:t>konvencionalno, formulirano, ob. vrlo pojednostavljeno mišljenje, koncepcija il</w:t>
            </w:r>
            <w:r w:rsidR="00074BDE">
              <w:rPr>
                <w:rFonts w:ascii="Candara" w:hAnsi="Candara"/>
              </w:rPr>
              <w:t>i vjerovanje (</w:t>
            </w:r>
            <w:r w:rsidR="005F10DE" w:rsidRPr="005F10DE">
              <w:rPr>
                <w:rFonts w:ascii="Candara" w:hAnsi="Candara"/>
              </w:rPr>
              <w:t>stereotipi o čitav</w:t>
            </w:r>
            <w:r w:rsidR="00074BDE">
              <w:rPr>
                <w:rFonts w:ascii="Candara" w:hAnsi="Candara"/>
              </w:rPr>
              <w:t>im nacijama netočni su i opasni)</w:t>
            </w:r>
          </w:p>
          <w:p w:rsidR="00786072" w:rsidRPr="00786072" w:rsidRDefault="00786072" w:rsidP="00786072">
            <w:pPr>
              <w:suppressAutoHyphens/>
              <w:autoSpaceDN w:val="0"/>
              <w:spacing w:after="0" w:line="240" w:lineRule="auto"/>
              <w:ind w:left="375" w:hanging="219"/>
              <w:rPr>
                <w:rFonts w:ascii="Candara" w:hAnsi="Candara" w:cs="Calibri"/>
              </w:rPr>
            </w:pPr>
          </w:p>
          <w:p w:rsidR="00786072" w:rsidRPr="00786072" w:rsidRDefault="00786072" w:rsidP="005F10D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75" w:hanging="219"/>
              <w:rPr>
                <w:rFonts w:ascii="Candara" w:hAnsi="Candara" w:cs="Calibri"/>
              </w:rPr>
            </w:pPr>
            <w:r w:rsidRPr="005F10DE">
              <w:rPr>
                <w:rFonts w:ascii="Candara" w:hAnsi="Candara" w:cs="Calibri"/>
                <w:b/>
              </w:rPr>
              <w:t>predrasuda</w:t>
            </w:r>
            <w:r w:rsidRPr="00786072">
              <w:rPr>
                <w:rFonts w:ascii="Candara" w:hAnsi="Candara" w:cs="Calibri"/>
              </w:rPr>
              <w:t xml:space="preserve"> – </w:t>
            </w:r>
            <w:r w:rsidR="005F10DE" w:rsidRPr="005F10DE">
              <w:rPr>
                <w:rFonts w:ascii="Candara" w:hAnsi="Candara" w:cs="Calibri"/>
              </w:rPr>
              <w:t>proširen i ustaljen, unaprijed postavljen stereotipan sud zasnovan na nedokazivim t</w:t>
            </w:r>
            <w:r w:rsidR="00074BDE">
              <w:rPr>
                <w:rFonts w:ascii="Candara" w:hAnsi="Candara" w:cs="Calibri"/>
              </w:rPr>
              <w:t>vrdnjama i lažnim autoritetima (rasna predrasuda)</w:t>
            </w:r>
          </w:p>
          <w:p w:rsidR="006A0F7D" w:rsidRDefault="006A0F7D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color w:val="000000"/>
                <w:lang w:val="en-US"/>
              </w:rPr>
            </w:pPr>
          </w:p>
          <w:p w:rsidR="005F10DE" w:rsidRPr="006A0F7D" w:rsidRDefault="005F10DE" w:rsidP="006A0F7D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color w:val="000000"/>
                <w:lang w:val="en-US"/>
              </w:rPr>
            </w:pPr>
          </w:p>
          <w:tbl>
            <w:tblPr>
              <w:tblStyle w:val="TableGrid"/>
              <w:tblW w:w="7371" w:type="dxa"/>
              <w:tblInd w:w="76" w:type="dxa"/>
              <w:tblBorders>
                <w:top w:val="single" w:sz="12" w:space="0" w:color="A6A6A6" w:themeColor="background1" w:themeShade="A6"/>
                <w:left w:val="single" w:sz="12" w:space="0" w:color="A6A6A6" w:themeColor="background1" w:themeShade="A6"/>
                <w:bottom w:val="single" w:sz="12" w:space="0" w:color="A6A6A6" w:themeColor="background1" w:themeShade="A6"/>
                <w:right w:val="single" w:sz="12" w:space="0" w:color="A6A6A6" w:themeColor="background1" w:themeShade="A6"/>
                <w:insideH w:val="single" w:sz="12" w:space="0" w:color="A6A6A6" w:themeColor="background1" w:themeShade="A6"/>
                <w:insideV w:val="single" w:sz="1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1086"/>
              <w:gridCol w:w="1087"/>
              <w:gridCol w:w="1087"/>
            </w:tblGrid>
            <w:tr w:rsidR="006A0F7D" w:rsidTr="006A0F7D">
              <w:trPr>
                <w:trHeight w:val="510"/>
              </w:trPr>
              <w:tc>
                <w:tcPr>
                  <w:tcW w:w="7371" w:type="dxa"/>
                  <w:gridSpan w:val="4"/>
                  <w:shd w:val="clear" w:color="auto" w:fill="FF5050"/>
                  <w:vAlign w:val="center"/>
                </w:tcPr>
                <w:p w:rsidR="006A0F7D" w:rsidRPr="001057F8" w:rsidRDefault="006A0F7D" w:rsidP="006A0F7D">
                  <w:pPr>
                    <w:ind w:right="172"/>
                    <w:jc w:val="center"/>
                    <w:rPr>
                      <w:rFonts w:ascii="Candara" w:hAnsi="Candara" w:cstheme="minorHAnsi"/>
                      <w:sz w:val="24"/>
                      <w:szCs w:val="24"/>
                    </w:rPr>
                  </w:pPr>
                  <w:r w:rsidRPr="001057F8"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 xml:space="preserve">Samovrenovanje/vrednovanje </w:t>
                  </w:r>
                  <w:r>
                    <w:rPr>
                      <w:rFonts w:ascii="Segoe UI Black" w:hAnsi="Segoe UI Black" w:cstheme="minorHAnsi"/>
                      <w:color w:val="FFFFFF" w:themeColor="background1"/>
                      <w:sz w:val="24"/>
                      <w:szCs w:val="24"/>
                    </w:rPr>
                    <w:t>skupinskoga rada</w:t>
                  </w:r>
                </w:p>
              </w:tc>
            </w:tr>
            <w:tr w:rsidR="006A0F7D" w:rsidTr="006A0F7D">
              <w:trPr>
                <w:trHeight w:val="510"/>
              </w:trPr>
              <w:tc>
                <w:tcPr>
                  <w:tcW w:w="4111" w:type="dxa"/>
                  <w:shd w:val="clear" w:color="auto" w:fill="BFBFBF" w:themeFill="background1" w:themeFillShade="BF"/>
                  <w:vAlign w:val="center"/>
                </w:tcPr>
                <w:p w:rsidR="006A0F7D" w:rsidRPr="001057F8" w:rsidRDefault="006A0F7D" w:rsidP="006A0F7D">
                  <w:pPr>
                    <w:jc w:val="center"/>
                    <w:rPr>
                      <w:rFonts w:ascii="Segoe UI Black" w:hAnsi="Segoe UI Black" w:cstheme="minorHAnsi"/>
                      <w:b/>
                      <w:color w:val="FFFFFF" w:themeColor="background1"/>
                    </w:rPr>
                  </w:pPr>
                  <w:r w:rsidRPr="001057F8">
                    <w:rPr>
                      <w:rFonts w:ascii="Segoe UI Black" w:hAnsi="Segoe UI Black" w:cs="Arial"/>
                      <w:b/>
                      <w:color w:val="FFFFFF" w:themeColor="background1"/>
                    </w:rPr>
                    <w:t>Elementi (kriteriji) vrednovanja</w:t>
                  </w:r>
                </w:p>
              </w:tc>
              <w:tc>
                <w:tcPr>
                  <w:tcW w:w="1086" w:type="dxa"/>
                  <w:shd w:val="clear" w:color="auto" w:fill="BFBFBF" w:themeFill="background1" w:themeFillShade="BF"/>
                  <w:vAlign w:val="center"/>
                </w:tcPr>
                <w:p w:rsidR="006A0F7D" w:rsidRPr="00A54513" w:rsidRDefault="006A0F7D" w:rsidP="006A0F7D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A"/>
                  </w:r>
                </w:p>
              </w:tc>
              <w:tc>
                <w:tcPr>
                  <w:tcW w:w="1087" w:type="dxa"/>
                  <w:shd w:val="clear" w:color="auto" w:fill="BFBFBF" w:themeFill="background1" w:themeFillShade="BF"/>
                  <w:vAlign w:val="center"/>
                </w:tcPr>
                <w:p w:rsidR="006A0F7D" w:rsidRPr="00A54513" w:rsidRDefault="006A0F7D" w:rsidP="006A0F7D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B"/>
                  </w:r>
                </w:p>
              </w:tc>
              <w:tc>
                <w:tcPr>
                  <w:tcW w:w="1087" w:type="dxa"/>
                  <w:shd w:val="clear" w:color="auto" w:fill="BFBFBF" w:themeFill="background1" w:themeFillShade="BF"/>
                  <w:vAlign w:val="center"/>
                </w:tcPr>
                <w:p w:rsidR="006A0F7D" w:rsidRPr="00A54513" w:rsidRDefault="006A0F7D" w:rsidP="006A0F7D">
                  <w:pPr>
                    <w:jc w:val="center"/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</w:pPr>
                  <w:r w:rsidRPr="00A54513">
                    <w:rPr>
                      <w:rFonts w:ascii="Segoe UI Black" w:hAnsi="Segoe UI Black" w:cstheme="minorHAnsi"/>
                      <w:color w:val="FFFFFF" w:themeColor="background1"/>
                      <w:sz w:val="32"/>
                      <w:szCs w:val="32"/>
                    </w:rPr>
                    <w:sym w:font="Wingdings" w:char="F04C"/>
                  </w: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6A0F7D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Svaki član skupine sudjeluje u radu.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6A0F7D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Svaki član skupine sudjeluje u predstavljanju rezultata rada svoje skupine.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5F10DE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Skupina je u cijelosti izvršila postavljene zadatke.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  <w:tr w:rsidR="006A0F7D" w:rsidTr="006A0F7D">
              <w:tc>
                <w:tcPr>
                  <w:tcW w:w="4111" w:type="dxa"/>
                </w:tcPr>
                <w:p w:rsidR="006A0F7D" w:rsidRPr="001057F8" w:rsidRDefault="006A0F7D" w:rsidP="006A0F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Tijekom predstavljanja aktivnosti skupina je privukla pozornost ostalih učenika i zadržala je do kraja svojega predstavljanja</w:t>
                  </w:r>
                  <w:r w:rsidRPr="001057F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086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1087" w:type="dxa"/>
                </w:tcPr>
                <w:p w:rsidR="006A0F7D" w:rsidRDefault="006A0F7D" w:rsidP="006A0F7D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:rsidR="006A0F7D" w:rsidRPr="004349E4" w:rsidRDefault="006A0F7D" w:rsidP="004C4AAB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</w:tc>
      </w:tr>
      <w:tr w:rsidR="0002006E" w:rsidRPr="004349E4" w:rsidTr="009812A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 materijal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</w:t>
            </w:r>
            <w:r w:rsidR="001B7799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7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E04F4A">
              <w:rPr>
                <w:rFonts w:ascii="Candara" w:hAnsi="Candara" w:cs="Arial"/>
              </w:rPr>
              <w:t>nastavni listići (</w:t>
            </w:r>
            <w:r w:rsidRPr="004349E4">
              <w:rPr>
                <w:rFonts w:ascii="Candara" w:hAnsi="Candara" w:cs="Arial"/>
              </w:rPr>
              <w:t>kriteriji vrednovanja), projekcijsko platno, računalo, projektor</w:t>
            </w:r>
          </w:p>
        </w:tc>
      </w:tr>
      <w:tr w:rsidR="0002006E" w:rsidRPr="004349E4" w:rsidTr="009812A0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5F10DE">
            <w:pPr>
              <w:spacing w:after="0" w:line="240" w:lineRule="auto"/>
              <w:rPr>
                <w:rFonts w:ascii="Candara" w:hAnsi="Candara"/>
              </w:rPr>
            </w:pPr>
            <w:r w:rsidRPr="004349E4">
              <w:rPr>
                <w:rFonts w:ascii="Candara" w:hAnsi="Candara"/>
              </w:rPr>
              <w:t xml:space="preserve">Španjol Marković, Mirela, </w:t>
            </w:r>
            <w:hyperlink r:id="rId8" w:history="1">
              <w:r w:rsidRPr="004349E4">
                <w:rPr>
                  <w:rStyle w:val="Hyperlink"/>
                  <w:rFonts w:ascii="Candara" w:hAnsi="Candara"/>
                  <w:i/>
                  <w:color w:val="auto"/>
                  <w:u w:val="none"/>
                </w:rPr>
                <w:t>Moć uvjeravanja : govornik, govor, publika: priručnik za javno nastupanje i poslovno prezentiranje</w:t>
              </w:r>
            </w:hyperlink>
            <w:r w:rsidRPr="004349E4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9812A0">
        <w:trPr>
          <w:trHeight w:val="103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4349E4">
              <w:rPr>
                <w:rFonts w:ascii="Candara" w:eastAsia="Times New Roman" w:hAnsi="Candara" w:cs="Calibri"/>
                <w:b/>
                <w:lang w:val="en-US"/>
              </w:rPr>
              <w:t>Osobni i socijalni razvoj: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A.3.1. Razvija sliku o sebi.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Učiti kako učiti:</w:t>
            </w:r>
          </w:p>
          <w:p w:rsidR="0002006E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 w:rsidR="00F14345" w:rsidRPr="004349E4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uku B.3.4. Učenik samovrednuje proces učenja i svoje rezultate, procjenjuje ostvareni napredak te na temelju toga planira svoje učenje.</w:t>
            </w:r>
          </w:p>
        </w:tc>
      </w:tr>
    </w:tbl>
    <w:p w:rsidR="00AE2103" w:rsidRPr="004349E4" w:rsidRDefault="00AE2103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FA7135" w:rsidRPr="00074BDE" w:rsidRDefault="00FA7135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074BDE" w:rsidRDefault="00074BDE" w:rsidP="00321292">
      <w:pPr>
        <w:rPr>
          <w:rFonts w:ascii="Candara" w:hAnsi="Candara"/>
          <w:b/>
        </w:rPr>
      </w:pPr>
    </w:p>
    <w:p w:rsidR="00FA7135" w:rsidRPr="00074BDE" w:rsidRDefault="00FA7135" w:rsidP="00321292">
      <w:pPr>
        <w:rPr>
          <w:rFonts w:ascii="Candara" w:hAnsi="Candara"/>
          <w:b/>
        </w:rPr>
      </w:pPr>
      <w:r w:rsidRPr="00074BDE">
        <w:rPr>
          <w:rFonts w:ascii="Candara" w:hAnsi="Candara"/>
          <w:b/>
        </w:rPr>
        <w:lastRenderedPageBreak/>
        <w:t>Prilog 1.</w:t>
      </w:r>
    </w:p>
    <w:p w:rsidR="006A0F7D" w:rsidRDefault="00074BDE" w:rsidP="00321292">
      <w:pPr>
        <w:rPr>
          <w:rFonts w:ascii="Candara" w:hAnsi="Candara"/>
          <w:b/>
        </w:rPr>
      </w:pPr>
      <w:r>
        <w:rPr>
          <w:rFonts w:ascii="Candara" w:hAnsi="Candara"/>
          <w:noProof/>
          <w:lang w:eastAsia="hr-HR" w:bidi="ar-SA"/>
        </w:rPr>
        <w:drawing>
          <wp:inline distT="0" distB="0" distL="0" distR="0" wp14:anchorId="4038DADB" wp14:editId="6030E424">
            <wp:extent cx="4975949" cy="703875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reotipi i predrasude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537" cy="710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21" w:rsidRDefault="003A4421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</w:p>
    <w:sectPr w:rsidR="00321292" w:rsidRPr="004349E4" w:rsidSect="006A0F7D">
      <w:type w:val="continuous"/>
      <w:pgSz w:w="11906" w:h="16838"/>
      <w:pgMar w:top="1417" w:right="1418" w:bottom="170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09B" w:rsidRDefault="0090409B" w:rsidP="00321292">
      <w:pPr>
        <w:spacing w:after="0" w:line="240" w:lineRule="auto"/>
      </w:pPr>
      <w:r>
        <w:separator/>
      </w:r>
    </w:p>
  </w:endnote>
  <w:endnote w:type="continuationSeparator" w:id="0">
    <w:p w:rsidR="0090409B" w:rsidRDefault="0090409B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09B" w:rsidRDefault="0090409B" w:rsidP="00321292">
      <w:pPr>
        <w:spacing w:after="0" w:line="240" w:lineRule="auto"/>
      </w:pPr>
      <w:r>
        <w:separator/>
      </w:r>
    </w:p>
  </w:footnote>
  <w:footnote w:type="continuationSeparator" w:id="0">
    <w:p w:rsidR="0090409B" w:rsidRDefault="0090409B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3E5452"/>
    <w:multiLevelType w:val="hybridMultilevel"/>
    <w:tmpl w:val="80804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6163D2"/>
    <w:multiLevelType w:val="hybridMultilevel"/>
    <w:tmpl w:val="965A94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87B5A75"/>
    <w:multiLevelType w:val="hybridMultilevel"/>
    <w:tmpl w:val="B254DB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36B0F"/>
    <w:rsid w:val="000436FC"/>
    <w:rsid w:val="00061ABD"/>
    <w:rsid w:val="00074BDE"/>
    <w:rsid w:val="00097311"/>
    <w:rsid w:val="000C6E16"/>
    <w:rsid w:val="000F6488"/>
    <w:rsid w:val="00100CA4"/>
    <w:rsid w:val="001057F8"/>
    <w:rsid w:val="001174FC"/>
    <w:rsid w:val="001442E1"/>
    <w:rsid w:val="001B7799"/>
    <w:rsid w:val="00203B49"/>
    <w:rsid w:val="00224880"/>
    <w:rsid w:val="00244E6D"/>
    <w:rsid w:val="002832A4"/>
    <w:rsid w:val="002912B5"/>
    <w:rsid w:val="002A6899"/>
    <w:rsid w:val="002A6B39"/>
    <w:rsid w:val="00307C1D"/>
    <w:rsid w:val="00321292"/>
    <w:rsid w:val="00330DE0"/>
    <w:rsid w:val="003473A5"/>
    <w:rsid w:val="003A3BDA"/>
    <w:rsid w:val="003A4421"/>
    <w:rsid w:val="003D7636"/>
    <w:rsid w:val="003E0B98"/>
    <w:rsid w:val="003F24FC"/>
    <w:rsid w:val="004012E8"/>
    <w:rsid w:val="00423BD8"/>
    <w:rsid w:val="0043369B"/>
    <w:rsid w:val="004349E4"/>
    <w:rsid w:val="00454077"/>
    <w:rsid w:val="00497577"/>
    <w:rsid w:val="004C4AAB"/>
    <w:rsid w:val="004C6B06"/>
    <w:rsid w:val="004F79E5"/>
    <w:rsid w:val="005F10DE"/>
    <w:rsid w:val="005F23CD"/>
    <w:rsid w:val="006321AF"/>
    <w:rsid w:val="00633B81"/>
    <w:rsid w:val="006A0F7D"/>
    <w:rsid w:val="006D0327"/>
    <w:rsid w:val="006F01F6"/>
    <w:rsid w:val="0075254A"/>
    <w:rsid w:val="007627C8"/>
    <w:rsid w:val="00775DE7"/>
    <w:rsid w:val="00786072"/>
    <w:rsid w:val="007F7717"/>
    <w:rsid w:val="00822048"/>
    <w:rsid w:val="00840B2F"/>
    <w:rsid w:val="00881651"/>
    <w:rsid w:val="008A5C00"/>
    <w:rsid w:val="008B3AB2"/>
    <w:rsid w:val="008E2B9A"/>
    <w:rsid w:val="0090409B"/>
    <w:rsid w:val="00910146"/>
    <w:rsid w:val="00922360"/>
    <w:rsid w:val="00945987"/>
    <w:rsid w:val="0098008E"/>
    <w:rsid w:val="009812A0"/>
    <w:rsid w:val="009A508B"/>
    <w:rsid w:val="009A647A"/>
    <w:rsid w:val="009C3237"/>
    <w:rsid w:val="00AB7B5B"/>
    <w:rsid w:val="00AC3559"/>
    <w:rsid w:val="00AE2103"/>
    <w:rsid w:val="00B40F78"/>
    <w:rsid w:val="00B456A0"/>
    <w:rsid w:val="00B5266A"/>
    <w:rsid w:val="00B541C5"/>
    <w:rsid w:val="00B55454"/>
    <w:rsid w:val="00B8052B"/>
    <w:rsid w:val="00BA5CCD"/>
    <w:rsid w:val="00BF3E7A"/>
    <w:rsid w:val="00BF6A1F"/>
    <w:rsid w:val="00C4038F"/>
    <w:rsid w:val="00C44E4A"/>
    <w:rsid w:val="00C70549"/>
    <w:rsid w:val="00C9554B"/>
    <w:rsid w:val="00CB02E4"/>
    <w:rsid w:val="00CD425C"/>
    <w:rsid w:val="00D55F5D"/>
    <w:rsid w:val="00D944BE"/>
    <w:rsid w:val="00DF7B05"/>
    <w:rsid w:val="00E04F4A"/>
    <w:rsid w:val="00E066F0"/>
    <w:rsid w:val="00E070BB"/>
    <w:rsid w:val="00E139E9"/>
    <w:rsid w:val="00E41948"/>
    <w:rsid w:val="00EA1B47"/>
    <w:rsid w:val="00EC4F85"/>
    <w:rsid w:val="00EC6D3E"/>
    <w:rsid w:val="00EE1DA5"/>
    <w:rsid w:val="00F07C44"/>
    <w:rsid w:val="00F14345"/>
    <w:rsid w:val="00FA7135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TableGrid1">
    <w:name w:val="Table Grid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39"/>
    <w:rsid w:val="001057F8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kgz.hr/pagesResults/bibliografskiZapis.aspx?&amp;currentPage=1&amp;searchById=30&amp;sort=0&amp;spid0=30&amp;spv0=javni+nastup+-+priru%c4%8dnici&amp;selectedId=4540174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B263-C937-4169-A36C-7CE1A076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24</cp:revision>
  <dcterms:created xsi:type="dcterms:W3CDTF">2019-07-13T17:11:00Z</dcterms:created>
  <dcterms:modified xsi:type="dcterms:W3CDTF">2020-07-02T20:11:00Z</dcterms:modified>
</cp:coreProperties>
</file>